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BC" w:rsidRDefault="001E77BC" w:rsidP="001E77BC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ИНФОРМАЦИЯ </w:t>
      </w:r>
    </w:p>
    <w:p w:rsidR="005B5D46" w:rsidRPr="005B5D46" w:rsidRDefault="001E77BC" w:rsidP="005B5D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B5D46">
        <w:rPr>
          <w:rStyle w:val="a4"/>
          <w:color w:val="000000"/>
          <w:sz w:val="36"/>
          <w:szCs w:val="36"/>
        </w:rPr>
        <w:t xml:space="preserve">для </w:t>
      </w:r>
      <w:r w:rsidR="00B33005" w:rsidRPr="005B5D46">
        <w:rPr>
          <w:rStyle w:val="a4"/>
          <w:color w:val="000000"/>
          <w:sz w:val="36"/>
          <w:szCs w:val="36"/>
        </w:rPr>
        <w:t xml:space="preserve">работодателей </w:t>
      </w:r>
      <w:r w:rsidR="005B5D46" w:rsidRPr="005B5D46">
        <w:rPr>
          <w:rStyle w:val="a4"/>
          <w:color w:val="000000"/>
          <w:sz w:val="36"/>
          <w:szCs w:val="36"/>
        </w:rPr>
        <w:t>по</w:t>
      </w:r>
      <w:r w:rsidR="005B5D46" w:rsidRPr="005B5D46">
        <w:rPr>
          <w:b/>
          <w:bCs/>
          <w:sz w:val="36"/>
          <w:szCs w:val="36"/>
        </w:rPr>
        <w:t xml:space="preserve"> вопросу обеспечения </w:t>
      </w:r>
      <w:proofErr w:type="gramStart"/>
      <w:r w:rsidR="005B5D46" w:rsidRPr="005B5D46">
        <w:rPr>
          <w:b/>
          <w:bCs/>
          <w:sz w:val="36"/>
          <w:szCs w:val="36"/>
        </w:rPr>
        <w:t>соблюдения</w:t>
      </w:r>
      <w:proofErr w:type="gramEnd"/>
      <w:r w:rsidR="005B5D46" w:rsidRPr="005B5D46">
        <w:rPr>
          <w:b/>
          <w:bCs/>
          <w:sz w:val="36"/>
          <w:szCs w:val="36"/>
        </w:rPr>
        <w:t xml:space="preserve"> предусмотренного трудовым законодательством запрета на ограничение трудовых прав и свобод граждан </w:t>
      </w:r>
      <w:r w:rsidR="005B5D46">
        <w:rPr>
          <w:b/>
          <w:bCs/>
          <w:sz w:val="36"/>
          <w:szCs w:val="36"/>
        </w:rPr>
        <w:t xml:space="preserve">                      </w:t>
      </w:r>
      <w:r w:rsidR="005B5D46" w:rsidRPr="005B5D46">
        <w:rPr>
          <w:b/>
          <w:bCs/>
          <w:sz w:val="36"/>
          <w:szCs w:val="36"/>
        </w:rPr>
        <w:t>в зависимости от возраста</w:t>
      </w:r>
    </w:p>
    <w:p w:rsidR="005B5D46" w:rsidRPr="005B5D46" w:rsidRDefault="005B5D46" w:rsidP="005B5D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Российской Федерации в своих решениях, касающихся трудовых и социальных прав граждан, неоднократно подчеркивал закрепление в Конституции РФ принципа свободы труда, права каждого свободно распоряжаться своими способностями к труду, выбирать род дея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и профессию.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 Трудового кодекса Российской Федерации (далее – ТК РФ) дискриминация в сфере труда запрещена, в том числе работников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03.10.2018 № 350-ФЗ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по вопросам назначения и выплаты пенсий» с 1 января 2019 года право на страховую пенсию по старости имеют лица, достигшие возраста 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60 лет (соответственно мужчины и женщины). При этом установлен так называемый переходный период и корректируется понятие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- в течение пяти лет до наступления возраста, дающего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страховую пенсию по старости, в том числе назначаемую досрочно.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государственной политики является осуществление мероприятий, способствующих занятости граждан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права лиц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целом не отличаются от прав остальных работников. Но есть некоторые детали, знание которых поможет работодателям избежать риска проведения внеплановых проверок инспекций труда и судебных разбирательств с этой группой сотрудников.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у гражданина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не может служить причиной для установления ограничений при приёме на работу и других ограничений в сфере труда.  Правила приема на работу граждан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 не должны отличаться от правил приема на работу других работников. ТК РФ установлен только возраст, с которого допускается заключение трудового договора. Предельный возраст для заключения трудового договора законом не установлен.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необоснованный отказ в заключении трудового договора. Отказать гражданину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заключении трудового договора можно только по обстоятельствам, связанным с деловыми качествами. Достижение указанного возраста не может быть основанием для отказа.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64 ТК РФ по письменному требованию лица, которому отказано в заключении трудового договора, работодатель обязан сообщить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причину отказа в письменной форме в срок не позднее чем в течение 7 рабочих дней со дня предъявления такого требования.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заключении трудового договора может быть обжалован в суд.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 рассмотрении работодателем вопроса о расторжении трудового договора по инициативе работодателя с лицом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следует учесть, что равенство их прав и возможностей с другими работниками не позволяет работодателю ограничивать их трудовые </w:t>
      </w:r>
      <w:proofErr w:type="gram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</w:t>
      </w:r>
      <w:r w:rsidR="0043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3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при рассмотрении вопроса о преимущественном праве н</w:t>
      </w:r>
      <w:r w:rsidR="0043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оставление на работе при сокращении штата или численности работников организации. В основу отбора работников, пользующихся данным правом, работодателем должны быть использованы основания, предусмотренные статьей 179 ТК РФ, среди которых отсутствует основание об оставлении на работе более молодых работников, чем лица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работодателем трудовых прав лиц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при рассмотрении вопроса преимущественного права на оставление на работе, в случае проведения мероприятий по сокращению штата или численности организации, будет являться нарушением порядка увольнения работников.  </w:t>
      </w:r>
    </w:p>
    <w:p w:rsidR="005B5D46" w:rsidRPr="005B5D46" w:rsidRDefault="005B5D46" w:rsidP="00430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уволенные с нарушением установленного порядка, подлежат восстановлению на работе на основании решения суда.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Государственной инспекцией труда </w:t>
      </w:r>
      <w:r w:rsidR="004822F6" w:rsidRP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22F6" w:rsidRP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как органом, осуществляющим федеральный государственный надзор за соблюдением трудового законодательства всеми работодателями, проводится мониторинг соблюдения трудового законодательства в отношении лиц пенсионного и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5B5D46" w:rsidRPr="005B5D46" w:rsidRDefault="005B5D46" w:rsidP="00482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Законодательство не содержит запрета на работу граждан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 совместительству.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ст. 282 ТК РФ любой работник по общему правилу имеет право заключать трудовые договоры о выполнении в свободное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являющиеся совместителями, имеют право на те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допускается принудительное заключение срочного трудового договора с работниками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То есть работодатель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Закон не наделяет работодателя правом переоформить трудовой договор, заключенный с работником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неопределенный срок, на срочный трудовой договор (равно как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расторгнуть трудовой договор) в связи с достижением этим работником пенсионного возраста и назначением ему пенсии.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Трудовое законодательство не содержит запрета для установления испытания при приеме граждан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на работу. Поэтому испытание им может устанавливаться на общих основаниях в соответствии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70 ТК РФ. Условие об испытании следует включать в текст трудового договора (в противном случае будет считаться, что лицо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принято на работу без испытания) и в приказ о приеме работника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работу.</w:t>
      </w:r>
    </w:p>
    <w:p w:rsidR="005B5D46" w:rsidRPr="005B5D46" w:rsidRDefault="005B5D46" w:rsidP="00482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трудовом договоре условия об испытании означает, что работник принят на работу без испытания.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Законодательством не установлены специальные требования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труда и режиму работы работников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не установлены специальные требования к условиям труда и режиму работы работников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Общие советы работодателям по улучшению условий труда работников данной категории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производственной сферы приведены в п. 13 Рекомендации №162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пожилых трудящихся», утвержденной Международной организацией труда от 23 июня 1980г.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работодателям рекомендуется:</w:t>
      </w:r>
    </w:p>
    <w:p w:rsidR="005B5D46" w:rsidRPr="005B5D46" w:rsidRDefault="005B5D46" w:rsidP="004822F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</w:p>
    <w:p w:rsidR="005B5D46" w:rsidRPr="005B5D46" w:rsidRDefault="005B5D46" w:rsidP="004822F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приспосабливать рабочее место и задания к возможностям трудящегося лица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используя все имеющиеся технические средства и, в частности, принципы эргономики, чтобы сохранять здоровье и работоспособность и предупредить несчастные случаи;</w:t>
      </w:r>
    </w:p>
    <w:p w:rsidR="005B5D46" w:rsidRPr="005B5D46" w:rsidRDefault="005B5D46" w:rsidP="004822F6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контроль состояния здоровья пожилых работников;</w:t>
      </w:r>
    </w:p>
    <w:p w:rsidR="005B5D46" w:rsidRPr="005B5D46" w:rsidRDefault="004822F6" w:rsidP="00817CB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F6">
        <w:rPr>
          <w:rFonts w:ascii="Times New Roman" w:hAnsi="Times New Roman" w:cs="Times New Roman"/>
          <w:sz w:val="28"/>
          <w:szCs w:val="28"/>
        </w:rPr>
        <w:t>предусматривать на рабочих местах соответствующий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</w:t>
      </w:r>
      <w:r w:rsidR="005B5D46"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5D46"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гигиен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5D46"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</w:t>
      </w:r>
      <w:proofErr w:type="spellStart"/>
      <w:r w:rsidR="005B5D46"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5B5D46"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гарантии работникам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Предоставление отпусков работникам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осуществляется по общим требованиям трудового законодательства РФ.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 установлены категории работников, которые имеют право уйти в отпуск в любое удобное для них время.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128 ТК РФ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128 ТК РФ).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работник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- инвалид, то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работодателя вменяется </w:t>
      </w:r>
      <w:proofErr w:type="gram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  предоставить</w:t>
      </w:r>
      <w:proofErr w:type="gram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 без сохранения заработной платы до 60 календарных дней в году.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 1 января 2019 года работники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185.1 ТК РФ при прохождении диспансеризации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законодательством в сфере охраны здоровья, имеют право на освобождение от работы на два рабочих дня один раз в год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за ними места работы (должности) и среднего заработка.</w:t>
      </w:r>
    </w:p>
    <w:p w:rsidR="005B5D46" w:rsidRPr="005B5D46" w:rsidRDefault="005B5D46" w:rsidP="005B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5B5D46" w:rsidRPr="005B5D46" w:rsidRDefault="005B5D46" w:rsidP="00482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 нарушение трудовых прав работников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67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организаций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административная ответственность в виде штрафа:</w:t>
      </w:r>
    </w:p>
    <w:p w:rsidR="005B5D46" w:rsidRPr="005B5D46" w:rsidRDefault="005B5D46" w:rsidP="004822F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порядка оформления приема на работу </w:t>
      </w:r>
      <w:r w:rsidR="0048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оформления трудового договора</w:t>
      </w:r>
      <w:r w:rsidR="00673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C9D"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прекращения трудового договора (принуждение к увольнению, привлечение к дисциплинарной ответственности в виде увольнения)</w:t>
      </w:r>
      <w:r w:rsidR="00673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3C9D"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отпуска</w:t>
      </w:r>
      <w:r w:rsidR="00673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3C9D"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режима рабочего времени и времени отдыха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(ч. 1 ст. 5.27 КоАП РФ) – от 30 до 50 тыс. руб.;</w:t>
      </w:r>
    </w:p>
    <w:p w:rsidR="00673C9D" w:rsidRPr="00673C9D" w:rsidRDefault="00673C9D" w:rsidP="00673C9D">
      <w:pPr>
        <w:pStyle w:val="a9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</w:t>
      </w:r>
      <w:r w:rsidRPr="00673C9D">
        <w:rPr>
          <w:rFonts w:ascii="Times New Roman" w:hAnsi="Times New Roman" w:cs="Times New Roman"/>
          <w:sz w:val="28"/>
          <w:szCs w:val="28"/>
        </w:rPr>
        <w:t xml:space="preserve">клонение от оформления или ненадлежащее оформление трудового договора либо </w:t>
      </w:r>
      <w:hyperlink r:id="rId5" w:history="1">
        <w:r w:rsidRPr="00673C9D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673C9D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договора, фактически регулирующего трудовые отношения м</w:t>
      </w:r>
      <w:r>
        <w:rPr>
          <w:rFonts w:ascii="Times New Roman" w:hAnsi="Times New Roman" w:cs="Times New Roman"/>
          <w:sz w:val="28"/>
          <w:szCs w:val="28"/>
        </w:rPr>
        <w:t>ежду работником и работодателем</w:t>
      </w:r>
      <w:r w:rsidRPr="00673C9D">
        <w:rPr>
          <w:rFonts w:ascii="Times New Roman" w:hAnsi="Times New Roman" w:cs="Times New Roman"/>
          <w:sz w:val="28"/>
          <w:szCs w:val="28"/>
        </w:rPr>
        <w:t xml:space="preserve"> 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5.27 КоАП РФ)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руб.;</w:t>
      </w:r>
    </w:p>
    <w:p w:rsidR="005B5D46" w:rsidRPr="005B5D46" w:rsidRDefault="005B5D46" w:rsidP="004822F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обязательных медицинских осмотров (ч. 3 ст. 5.27.1 КоАП РФ) - от 110 до 130 тыс. руб.;</w:t>
      </w:r>
    </w:p>
    <w:p w:rsidR="005B5D46" w:rsidRPr="005B5D46" w:rsidRDefault="005B5D46" w:rsidP="004822F6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 (ч. 2 ст. 5.27.1 КоАП РФ) - от 60 до 80 тыс. руб.</w:t>
      </w:r>
    </w:p>
    <w:p w:rsidR="005B5D46" w:rsidRDefault="005B5D46" w:rsidP="004822F6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необоснованный отказ в приеме на работу лица по </w:t>
      </w:r>
      <w:hyperlink r:id="rId6" w:anchor="dst100029" w:history="1">
        <w:r w:rsidRPr="005B5D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мотивам</w:t>
        </w:r>
      </w:hyperlink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достижения им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или увольнение сотрудника </w:t>
      </w:r>
      <w:proofErr w:type="spell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ст. 144.1 Уголовного кодекса РФ предусмотрен штраф в размере до 200 тыс. рублей или в размере заработной платы или </w:t>
      </w:r>
      <w:proofErr w:type="gramStart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5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восемнадцати месяцев либо обязательными работами на срок до трехсот шестидесяти часов.</w:t>
      </w:r>
    </w:p>
    <w:sectPr w:rsidR="005B5D46" w:rsidSect="004822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271F"/>
    <w:multiLevelType w:val="multilevel"/>
    <w:tmpl w:val="0B1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22225"/>
    <w:multiLevelType w:val="multilevel"/>
    <w:tmpl w:val="61FE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E2"/>
    <w:rsid w:val="000124C9"/>
    <w:rsid w:val="00187AC9"/>
    <w:rsid w:val="001D4DB2"/>
    <w:rsid w:val="001E77BC"/>
    <w:rsid w:val="00430B2C"/>
    <w:rsid w:val="004620ED"/>
    <w:rsid w:val="004822F6"/>
    <w:rsid w:val="005B5D46"/>
    <w:rsid w:val="00673C9D"/>
    <w:rsid w:val="00B04E63"/>
    <w:rsid w:val="00B33005"/>
    <w:rsid w:val="00E4781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7338-06F6-4297-870C-C94AB39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E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620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B5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5B5D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1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21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921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616/" TargetMode="External"/><Relationship Id="rId5" Type="http://schemas.openxmlformats.org/officeDocument/2006/relationships/hyperlink" Target="consultantplus://offline/ref=EA95A5146E0C6B268CE0D21F633108684F529FEEFC0A1D40412FA2838F2AAD6DBFE21C8847AE961EB01A2A7AF9B38A40F8633E8FBF5C9F9EJFh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3</cp:revision>
  <cp:lastPrinted>2019-07-12T10:56:00Z</cp:lastPrinted>
  <dcterms:created xsi:type="dcterms:W3CDTF">2021-03-15T11:41:00Z</dcterms:created>
  <dcterms:modified xsi:type="dcterms:W3CDTF">2021-03-15T12:35:00Z</dcterms:modified>
</cp:coreProperties>
</file>